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afterLines="100" w:line="440" w:lineRule="exact"/>
        <w:jc w:val="center"/>
        <w:rPr>
          <w:rFonts w:ascii="仿宋_GB2312" w:hAnsi="仿宋_GB2312" w:eastAsia="仿宋_GB2312" w:cs="仿宋_GB2312"/>
          <w:b/>
          <w:sz w:val="28"/>
          <w:szCs w:val="28"/>
        </w:rPr>
      </w:pPr>
      <w:r>
        <w:rPr>
          <w:rFonts w:hint="eastAsia" w:ascii="仿宋_GB2312" w:hAnsi="仿宋_GB2312" w:eastAsia="仿宋_GB2312" w:cs="仿宋_GB2312"/>
          <w:b/>
          <w:sz w:val="28"/>
          <w:szCs w:val="28"/>
        </w:rPr>
        <w:t>药物/器械临床试验申办方须知</w:t>
      </w:r>
    </w:p>
    <w:p>
      <w:pPr>
        <w:spacing w:line="360" w:lineRule="auto"/>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感谢您选择赣州市人民医院药物临床试验机构进行药物/器械临床试验。在启动临床试验项目时，为了更好的执行GCP的相关要求，规范临床试验，请您配合做到以下几点：</w:t>
      </w:r>
    </w:p>
    <w:p>
      <w:pPr>
        <w:numPr>
          <w:ilvl w:val="0"/>
          <w:numId w:val="1"/>
        </w:numPr>
        <w:spacing w:line="360" w:lineRule="auto"/>
        <w:rPr>
          <w:rFonts w:ascii="仿宋_GB2312" w:hAnsi="仿宋_GB2312" w:eastAsia="仿宋_GB2312" w:cs="仿宋_GB2312"/>
          <w:b/>
          <w:bCs/>
          <w:szCs w:val="21"/>
        </w:rPr>
      </w:pPr>
      <w:r>
        <w:rPr>
          <w:rFonts w:hint="eastAsia" w:ascii="仿宋_GB2312" w:hAnsi="仿宋_GB2312" w:eastAsia="仿宋_GB2312" w:cs="仿宋_GB2312"/>
          <w:b/>
          <w:bCs/>
          <w:szCs w:val="21"/>
        </w:rPr>
        <w:t>项目洽谈：</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请先与研究者进行项目洽谈，研究者有意向承接项目，则将电子版方案摘要或项目相关信息发机构邮箱，</w:t>
      </w:r>
      <w:r>
        <w:rPr>
          <w:rFonts w:hint="eastAsia" w:ascii="仿宋_GB2312" w:hAnsi="仿宋_GB2312" w:eastAsia="仿宋_GB2312" w:cs="仿宋_GB2312"/>
          <w:color w:val="FF0000"/>
          <w:szCs w:val="21"/>
        </w:rPr>
        <w:t>机构办公室3-5个工作日内</w:t>
      </w:r>
      <w:r>
        <w:rPr>
          <w:rFonts w:hint="eastAsia" w:ascii="仿宋_GB2312" w:hAnsi="仿宋_GB2312" w:eastAsia="仿宋_GB2312" w:cs="仿宋_GB2312"/>
          <w:szCs w:val="21"/>
        </w:rPr>
        <w:t>回复是否承接。</w:t>
      </w:r>
    </w:p>
    <w:p>
      <w:pPr>
        <w:spacing w:line="360" w:lineRule="auto"/>
        <w:rPr>
          <w:rFonts w:ascii="仿宋_GB2312" w:hAnsi="仿宋_GB2312" w:eastAsia="仿宋_GB2312" w:cs="仿宋_GB2312"/>
          <w:b/>
          <w:bCs/>
          <w:szCs w:val="21"/>
        </w:rPr>
      </w:pPr>
      <w:r>
        <w:rPr>
          <w:rFonts w:hint="eastAsia" w:ascii="仿宋_GB2312" w:hAnsi="仿宋_GB2312" w:eastAsia="仿宋_GB2312" w:cs="仿宋_GB2312"/>
          <w:b/>
          <w:bCs/>
          <w:szCs w:val="21"/>
        </w:rPr>
        <w:t>二、立项及伦理送审要求：</w:t>
      </w:r>
    </w:p>
    <w:p>
      <w:pPr>
        <w:numPr>
          <w:ilvl w:val="0"/>
          <w:numId w:val="2"/>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进入机构官网下载相关表格，仔细阅读申办者须知，按“送审文件清单”准备材料，送至机构办公室，同时将电子版资料发送至机构办公室邮箱。机构办公室形式审查后将于</w:t>
      </w:r>
      <w:r>
        <w:rPr>
          <w:rFonts w:hint="eastAsia" w:ascii="仿宋_GB2312" w:hAnsi="仿宋_GB2312" w:eastAsia="仿宋_GB2312" w:cs="仿宋_GB2312"/>
          <w:color w:val="FF0000"/>
          <w:szCs w:val="21"/>
        </w:rPr>
        <w:t>3-5个</w:t>
      </w:r>
      <w:r>
        <w:rPr>
          <w:rFonts w:hint="eastAsia" w:ascii="仿宋_GB2312" w:hAnsi="仿宋_GB2312" w:eastAsia="仿宋_GB2312" w:cs="仿宋_GB2312"/>
          <w:szCs w:val="21"/>
        </w:rPr>
        <w:t>工作日内通知立项结果及材料补正。</w:t>
      </w:r>
    </w:p>
    <w:p>
      <w:pPr>
        <w:numPr>
          <w:ilvl w:val="0"/>
          <w:numId w:val="2"/>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收到伦理会议通知后，请在</w:t>
      </w:r>
      <w:r>
        <w:rPr>
          <w:rFonts w:hint="eastAsia" w:ascii="仿宋_GB2312" w:hAnsi="仿宋_GB2312" w:eastAsia="仿宋_GB2312" w:cs="仿宋_GB2312"/>
          <w:color w:val="FF0000"/>
          <w:szCs w:val="21"/>
        </w:rPr>
        <w:t>伦理会议之前</w:t>
      </w:r>
      <w:r>
        <w:rPr>
          <w:rFonts w:hint="eastAsia" w:ascii="仿宋_GB2312" w:hAnsi="仿宋_GB2312" w:eastAsia="仿宋_GB2312" w:cs="仿宋_GB2312"/>
          <w:szCs w:val="21"/>
        </w:rPr>
        <w:t>将伦理审查费转入我院账户（每个研究项目的伦理审查费用</w:t>
      </w:r>
      <w:r>
        <w:rPr>
          <w:rFonts w:hint="eastAsia" w:ascii="仿宋_GB2312" w:hAnsi="仿宋_GB2312" w:eastAsia="仿宋_GB2312" w:cs="仿宋_GB2312"/>
          <w:color w:val="FF0000"/>
          <w:szCs w:val="21"/>
        </w:rPr>
        <w:t>5</w:t>
      </w:r>
      <w:r>
        <w:rPr>
          <w:rFonts w:hint="eastAsia" w:ascii="仿宋_GB2312" w:hAnsi="仿宋_GB2312" w:eastAsia="仿宋_GB2312" w:cs="仿宋_GB2312"/>
          <w:color w:val="FF0000"/>
          <w:szCs w:val="21"/>
          <w:lang w:val="en-US" w:eastAsia="zh-CN"/>
        </w:rPr>
        <w:t>15</w:t>
      </w:r>
      <w:r>
        <w:rPr>
          <w:rFonts w:hint="eastAsia" w:ascii="仿宋_GB2312" w:hAnsi="仿宋_GB2312" w:eastAsia="仿宋_GB2312" w:cs="仿宋_GB2312"/>
          <w:color w:val="FF0000"/>
          <w:szCs w:val="21"/>
        </w:rPr>
        <w:t>0元人民币</w:t>
      </w:r>
      <w:r>
        <w:rPr>
          <w:rFonts w:hint="eastAsia" w:ascii="仿宋_GB2312" w:hAnsi="仿宋_GB2312" w:eastAsia="仿宋_GB2312" w:cs="仿宋_GB2312"/>
          <w:color w:val="FF0000"/>
          <w:szCs w:val="21"/>
          <w:lang w:eastAsia="zh-CN"/>
        </w:rPr>
        <w:t>（含</w:t>
      </w:r>
      <w:r>
        <w:rPr>
          <w:rFonts w:hint="eastAsia" w:ascii="仿宋_GB2312" w:hAnsi="仿宋_GB2312" w:eastAsia="仿宋_GB2312" w:cs="仿宋_GB2312"/>
          <w:color w:val="FF0000"/>
          <w:szCs w:val="21"/>
          <w:lang w:val="en-US" w:eastAsia="zh-CN"/>
        </w:rPr>
        <w:t>3%的税费</w:t>
      </w:r>
      <w:r>
        <w:rPr>
          <w:rFonts w:hint="eastAsia" w:ascii="仿宋_GB2312" w:hAnsi="仿宋_GB2312" w:eastAsia="仿宋_GB2312" w:cs="仿宋_GB2312"/>
          <w:color w:val="FF0000"/>
          <w:szCs w:val="21"/>
          <w:lang w:eastAsia="zh-CN"/>
        </w:rPr>
        <w:t>）</w:t>
      </w:r>
      <w:r>
        <w:rPr>
          <w:rFonts w:hint="eastAsia" w:ascii="仿宋_GB2312" w:hAnsi="仿宋_GB2312" w:eastAsia="仿宋_GB2312" w:cs="仿宋_GB2312"/>
          <w:szCs w:val="21"/>
        </w:rPr>
        <w:t>），并将</w:t>
      </w:r>
      <w:r>
        <w:rPr>
          <w:rFonts w:hint="eastAsia" w:ascii="仿宋_GB2312" w:hAnsi="仿宋_GB2312" w:eastAsia="仿宋_GB2312" w:cs="仿宋_GB2312"/>
          <w:color w:val="FF0000"/>
          <w:szCs w:val="21"/>
        </w:rPr>
        <w:t>汇款单</w:t>
      </w:r>
      <w:r>
        <w:rPr>
          <w:rFonts w:hint="eastAsia" w:ascii="仿宋_GB2312" w:hAnsi="仿宋_GB2312" w:eastAsia="仿宋_GB2312" w:cs="仿宋_GB2312"/>
          <w:szCs w:val="21"/>
        </w:rPr>
        <w:t>发送至伦理邮箱</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lang w:val="en-US" w:eastAsia="zh-CN"/>
        </w:rPr>
        <w:t>gzsrmyyywlcsyllwyh@163.com</w:t>
      </w:r>
      <w:r>
        <w:rPr>
          <w:rFonts w:hint="eastAsia" w:ascii="仿宋_GB2312" w:hAnsi="仿宋_GB2312" w:eastAsia="仿宋_GB2312" w:cs="仿宋_GB2312"/>
          <w:szCs w:val="21"/>
          <w:lang w:eastAsia="zh-CN"/>
        </w:rPr>
        <w:t>）</w:t>
      </w:r>
      <w:r>
        <w:rPr>
          <w:rFonts w:hint="eastAsia" w:ascii="仿宋_GB2312" w:hAnsi="仿宋_GB2312" w:eastAsia="仿宋_GB2312" w:cs="仿宋_GB2312"/>
          <w:szCs w:val="21"/>
        </w:rPr>
        <w:t>。</w:t>
      </w:r>
      <w:bookmarkStart w:id="0" w:name="_GoBack"/>
      <w:bookmarkEnd w:id="0"/>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注：伦理委员会原则上每月召开一次审查会议,特殊情况视项目数而定。送审文件必需在</w:t>
      </w:r>
      <w:r>
        <w:rPr>
          <w:rFonts w:hint="eastAsia" w:ascii="仿宋_GB2312" w:hAnsi="仿宋_GB2312" w:eastAsia="仿宋_GB2312" w:cs="仿宋_GB2312"/>
          <w:color w:val="FF0000"/>
          <w:szCs w:val="21"/>
        </w:rPr>
        <w:t>会议审查1周前提交</w:t>
      </w:r>
      <w:r>
        <w:rPr>
          <w:rFonts w:hint="eastAsia" w:ascii="仿宋_GB2312" w:hAnsi="仿宋_GB2312" w:eastAsia="仿宋_GB2312" w:cs="仿宋_GB2312"/>
          <w:szCs w:val="21"/>
        </w:rPr>
        <w:t>。伦理委员会办公室在会议审查后5个工作日内，以“伦理审查</w:t>
      </w:r>
      <w:r>
        <w:rPr>
          <w:rFonts w:hint="eastAsia" w:ascii="仿宋_GB2312" w:hAnsi="仿宋_GB2312" w:eastAsia="仿宋_GB2312" w:cs="仿宋_GB2312"/>
          <w:szCs w:val="21"/>
          <w:lang w:val="en-US" w:eastAsia="zh-CN"/>
        </w:rPr>
        <w:t>同意函</w:t>
      </w:r>
      <w:r>
        <w:rPr>
          <w:rFonts w:hint="eastAsia" w:ascii="仿宋_GB2312" w:hAnsi="仿宋_GB2312" w:eastAsia="仿宋_GB2312" w:cs="仿宋_GB2312"/>
          <w:szCs w:val="21"/>
        </w:rPr>
        <w:t>”或“伦理审查意见</w:t>
      </w:r>
      <w:r>
        <w:rPr>
          <w:rFonts w:hint="eastAsia" w:ascii="仿宋_GB2312" w:hAnsi="仿宋_GB2312" w:eastAsia="仿宋_GB2312" w:cs="仿宋_GB2312"/>
          <w:szCs w:val="21"/>
          <w:lang w:val="en-US" w:eastAsia="zh-CN"/>
        </w:rPr>
        <w:t>函</w:t>
      </w:r>
      <w:r>
        <w:rPr>
          <w:rFonts w:hint="eastAsia" w:ascii="仿宋_GB2312" w:hAnsi="仿宋_GB2312" w:eastAsia="仿宋_GB2312" w:cs="仿宋_GB2312"/>
          <w:szCs w:val="21"/>
        </w:rPr>
        <w:t>”的书面方式传达审查决定。</w:t>
      </w:r>
    </w:p>
    <w:p>
      <w:pPr>
        <w:numPr>
          <w:ilvl w:val="0"/>
          <w:numId w:val="2"/>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取得我院药物临床试验伦理委员会</w:t>
      </w:r>
      <w:r>
        <w:rPr>
          <w:rFonts w:hint="eastAsia" w:ascii="仿宋_GB2312" w:hAnsi="仿宋_GB2312" w:eastAsia="仿宋_GB2312" w:cs="仿宋_GB2312"/>
          <w:szCs w:val="21"/>
          <w:lang w:val="en-US" w:eastAsia="zh-CN"/>
        </w:rPr>
        <w:t>同意函</w:t>
      </w:r>
      <w:r>
        <w:rPr>
          <w:rFonts w:hint="eastAsia" w:ascii="仿宋_GB2312" w:hAnsi="仿宋_GB2312" w:eastAsia="仿宋_GB2312" w:cs="仿宋_GB2312"/>
          <w:szCs w:val="21"/>
        </w:rPr>
        <w:t>后，若需我院签署遗传办承诺书，需提供组长单位的申</w:t>
      </w:r>
      <w:r>
        <w:rPr>
          <w:rFonts w:hint="eastAsia" w:ascii="仿宋_GB2312" w:hAnsi="仿宋_GB2312" w:eastAsia="仿宋_GB2312" w:cs="仿宋_GB2312"/>
          <w:szCs w:val="21"/>
          <w:lang w:val="en-US" w:eastAsia="zh-CN"/>
        </w:rPr>
        <w:t>请</w:t>
      </w:r>
      <w:r>
        <w:rPr>
          <w:rFonts w:hint="eastAsia" w:ascii="仿宋_GB2312" w:hAnsi="仿宋_GB2312" w:eastAsia="仿宋_GB2312" w:cs="仿宋_GB2312"/>
          <w:szCs w:val="21"/>
        </w:rPr>
        <w:t>书（完整版）1份，承诺书办结预计需3-5个工作日，视医院法人代表签字时间而定。组长单位取得遗传办批件后，需递交一份到机构办备案。</w:t>
      </w:r>
    </w:p>
    <w:p>
      <w:pPr>
        <w:spacing w:line="360" w:lineRule="auto"/>
        <w:rPr>
          <w:rFonts w:ascii="仿宋_GB2312" w:hAnsi="仿宋_GB2312" w:eastAsia="仿宋_GB2312" w:cs="仿宋_GB2312"/>
          <w:b/>
          <w:bCs/>
          <w:szCs w:val="21"/>
        </w:rPr>
      </w:pPr>
      <w:r>
        <w:rPr>
          <w:rFonts w:hint="eastAsia" w:ascii="仿宋_GB2312" w:hAnsi="仿宋_GB2312" w:eastAsia="仿宋_GB2312" w:cs="仿宋_GB2312"/>
          <w:b/>
          <w:bCs/>
          <w:szCs w:val="21"/>
        </w:rPr>
        <w:t>三、合同签订及试验经费管理</w:t>
      </w:r>
    </w:p>
    <w:p>
      <w:pPr>
        <w:numPr>
          <w:ilvl w:val="0"/>
          <w:numId w:val="3"/>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合同签订：</w:t>
      </w:r>
    </w:p>
    <w:p>
      <w:pPr>
        <w:spacing w:line="360" w:lineRule="auto"/>
        <w:rPr>
          <w:rFonts w:ascii="仿宋_GB2312" w:hAnsi="仿宋_GB2312" w:eastAsia="仿宋_GB2312" w:cs="仿宋_GB2312"/>
          <w:color w:val="000000"/>
          <w:szCs w:val="21"/>
        </w:rPr>
      </w:pPr>
      <w:r>
        <w:rPr>
          <w:rFonts w:hint="eastAsia" w:ascii="仿宋_GB2312" w:hAnsi="仿宋_GB2312" w:eastAsia="仿宋_GB2312" w:cs="仿宋_GB2312"/>
          <w:szCs w:val="21"/>
        </w:rPr>
        <w:t xml:space="preserve">  </w:t>
      </w:r>
      <w:r>
        <w:rPr>
          <w:rFonts w:hint="eastAsia" w:ascii="仿宋_GB2312" w:hAnsi="仿宋_GB2312" w:eastAsia="仿宋_GB2312" w:cs="仿宋_GB2312"/>
          <w:color w:val="000000"/>
          <w:szCs w:val="21"/>
        </w:rPr>
        <w:t xml:space="preserve">1.1 </w:t>
      </w:r>
      <w:r>
        <w:rPr>
          <w:rFonts w:hint="eastAsia" w:ascii="仿宋_GB2312" w:hAnsi="仿宋_GB2312" w:eastAsia="仿宋_GB2312" w:cs="仿宋_GB2312"/>
          <w:szCs w:val="21"/>
        </w:rPr>
        <w:t>项目立项后即可与机构办沟通合同相关事宜。</w:t>
      </w:r>
    </w:p>
    <w:p>
      <w:pPr>
        <w:spacing w:line="360" w:lineRule="auto"/>
        <w:rPr>
          <w:rFonts w:ascii="仿宋_GB2312" w:hAnsi="仿宋_GB2312" w:eastAsia="仿宋_GB2312" w:cs="仿宋_GB2312"/>
          <w:color w:val="FF0000"/>
          <w:szCs w:val="21"/>
        </w:rPr>
      </w:pPr>
      <w:r>
        <w:rPr>
          <w:rFonts w:hint="eastAsia" w:ascii="仿宋_GB2312" w:hAnsi="仿宋_GB2312" w:eastAsia="仿宋_GB2312" w:cs="仿宋_GB2312"/>
          <w:color w:val="000000"/>
          <w:szCs w:val="21"/>
        </w:rPr>
        <w:t xml:space="preserve">  1.2 院内合同会签流程预计需3-5个工作日。</w:t>
      </w:r>
    </w:p>
    <w:p>
      <w:pPr>
        <w:spacing w:line="360" w:lineRule="auto"/>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2. 试验经费管理：</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2.1 所有费用须转入医院账户，不得转入研究者私人账户；</w:t>
      </w:r>
    </w:p>
    <w:p>
      <w:pPr>
        <w:spacing w:line="360" w:lineRule="auto"/>
        <w:ind w:firstLine="210" w:firstLineChars="100"/>
        <w:rPr>
          <w:rFonts w:ascii="仿宋_GB2312" w:hAnsi="仿宋_GB2312" w:eastAsia="仿宋_GB2312" w:cs="仿宋_GB2312"/>
          <w:szCs w:val="21"/>
        </w:rPr>
      </w:pPr>
      <w:r>
        <w:rPr>
          <w:rFonts w:hint="eastAsia" w:ascii="仿宋_GB2312" w:hAnsi="仿宋_GB2312" w:eastAsia="仿宋_GB2312" w:cs="仿宋_GB2312"/>
          <w:szCs w:val="21"/>
        </w:rPr>
        <w:t>2.2每笔汇款单上均应简要</w:t>
      </w:r>
      <w:r>
        <w:rPr>
          <w:rFonts w:hint="eastAsia" w:ascii="仿宋_GB2312" w:hAnsi="仿宋_GB2312" w:eastAsia="仿宋_GB2312" w:cs="仿宋_GB2312"/>
          <w:color w:val="FF0000"/>
          <w:szCs w:val="21"/>
        </w:rPr>
        <w:t>注明项目名称和费用用途</w:t>
      </w:r>
      <w:r>
        <w:rPr>
          <w:rFonts w:hint="eastAsia" w:ascii="仿宋_GB2312" w:hAnsi="仿宋_GB2312" w:eastAsia="仿宋_GB2312" w:cs="仿宋_GB2312"/>
          <w:szCs w:val="21"/>
        </w:rPr>
        <w:t>；</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2.3  申办方每向医院汇款一笔临床试验费用都需将汇款单扫描件发送至机构邮箱，并在邮件中写明项目名称及费用用途；</w:t>
      </w:r>
    </w:p>
    <w:p>
      <w:pPr>
        <w:spacing w:line="360" w:lineRule="auto"/>
        <w:rPr>
          <w:rFonts w:ascii="仿宋_GB2312" w:hAnsi="仿宋_GB2312" w:eastAsia="仿宋_GB2312" w:cs="仿宋_GB2312"/>
          <w:b/>
          <w:bCs/>
          <w:color w:val="FF0000"/>
          <w:szCs w:val="21"/>
        </w:rPr>
      </w:pPr>
      <w:r>
        <w:rPr>
          <w:rFonts w:hint="eastAsia" w:ascii="仿宋_GB2312" w:hAnsi="仿宋_GB2312" w:eastAsia="仿宋_GB2312" w:cs="仿宋_GB2312"/>
          <w:b/>
          <w:bCs/>
          <w:color w:val="FF0000"/>
          <w:szCs w:val="21"/>
        </w:rPr>
        <w:t>注意：汇款单上需简要注明项目简称和费用用途（XX试验XXX费），拿汇款凭证到GCP办公室领取发票开具函，凭合同复印件和发票开具函前往财务科开具增值税普通发票。</w:t>
      </w:r>
    </w:p>
    <w:p>
      <w:pPr>
        <w:spacing w:line="360" w:lineRule="auto"/>
        <w:rPr>
          <w:rFonts w:ascii="仿宋_GB2312" w:hAnsi="仿宋_GB2312" w:eastAsia="仿宋_GB2312" w:cs="仿宋_GB2312"/>
          <w:b/>
          <w:bCs/>
          <w:szCs w:val="21"/>
        </w:rPr>
      </w:pPr>
      <w:r>
        <w:rPr>
          <w:rFonts w:hint="eastAsia" w:ascii="仿宋_GB2312" w:hAnsi="仿宋_GB2312" w:eastAsia="仿宋_GB2312" w:cs="仿宋_GB2312"/>
          <w:b/>
          <w:bCs/>
          <w:szCs w:val="21"/>
        </w:rPr>
        <w:t>四、试验运行过程要求：</w:t>
      </w:r>
    </w:p>
    <w:p>
      <w:pPr>
        <w:numPr>
          <w:ilvl w:val="0"/>
          <w:numId w:val="4"/>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方案讨论会、总结会（中期和最后总结）等：相关试验会议需通知机构办公室并将邀请函发到机构办公室。</w:t>
      </w:r>
    </w:p>
    <w:p>
      <w:pPr>
        <w:numPr>
          <w:ilvl w:val="0"/>
          <w:numId w:val="4"/>
        </w:numPr>
        <w:spacing w:line="360" w:lineRule="auto"/>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启动会：（1）应在完成合同签署盖章及所有试验物资达到研究中心后召开</w:t>
      </w:r>
      <w:r>
        <w:rPr>
          <w:rFonts w:hint="eastAsia" w:ascii="仿宋_GB2312" w:hAnsi="仿宋_GB2312" w:eastAsia="仿宋_GB2312" w:cs="仿宋_GB2312"/>
          <w:szCs w:val="21"/>
        </w:rPr>
        <w:t>，启动培训会时间由研究者及和申办方协商确定，并通知机构办公室参会（2）启动会前：所有</w:t>
      </w:r>
      <w:r>
        <w:rPr>
          <w:rFonts w:hint="eastAsia" w:ascii="仿宋_GB2312" w:hAnsi="仿宋_GB2312" w:eastAsia="仿宋_GB2312" w:cs="仿宋_GB2312"/>
          <w:color w:val="FF0000"/>
          <w:szCs w:val="21"/>
        </w:rPr>
        <w:t>相关物资、试验用药品及首笔启动经费</w:t>
      </w:r>
      <w:r>
        <w:rPr>
          <w:rFonts w:hint="eastAsia" w:ascii="仿宋_GB2312" w:hAnsi="仿宋_GB2312" w:eastAsia="仿宋_GB2312" w:cs="仿宋_GB2312"/>
          <w:szCs w:val="21"/>
        </w:rPr>
        <w:t>及时</w:t>
      </w:r>
      <w:r>
        <w:rPr>
          <w:rFonts w:hint="eastAsia" w:ascii="仿宋_GB2312" w:hAnsi="仿宋_GB2312" w:eastAsia="仿宋_GB2312" w:cs="仿宋_GB2312"/>
          <w:color w:val="FF0000"/>
          <w:szCs w:val="21"/>
        </w:rPr>
        <w:t>到位。</w:t>
      </w:r>
      <w:r>
        <w:rPr>
          <w:rFonts w:hint="eastAsia" w:ascii="仿宋_GB2312" w:hAnsi="仿宋_GB2312" w:eastAsia="仿宋_GB2312" w:cs="仿宋_GB2312"/>
          <w:szCs w:val="21"/>
        </w:rPr>
        <w:t>（3）</w:t>
      </w:r>
      <w:r>
        <w:rPr>
          <w:rFonts w:hint="eastAsia" w:ascii="仿宋_GB2312" w:hAnsi="仿宋_GB2312" w:eastAsia="仿宋_GB2312" w:cs="仿宋_GB2312"/>
          <w:color w:val="000000"/>
          <w:szCs w:val="21"/>
        </w:rPr>
        <w:t>研究者文件夹：</w:t>
      </w:r>
      <w:r>
        <w:rPr>
          <w:rFonts w:hint="eastAsia" w:ascii="仿宋_GB2312" w:hAnsi="仿宋_GB2312" w:eastAsia="仿宋_GB2312" w:cs="仿宋_GB2312"/>
          <w:color w:val="FF0000"/>
          <w:szCs w:val="21"/>
        </w:rPr>
        <w:t>以《临床试验资料归档目录》作为文件夹目录整理存放资料。</w:t>
      </w:r>
    </w:p>
    <w:p>
      <w:pPr>
        <w:numPr>
          <w:ilvl w:val="0"/>
          <w:numId w:val="4"/>
        </w:numPr>
        <w:spacing w:line="360" w:lineRule="auto"/>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每次访视监查员必须提前通知机构办公室（发送访视确认函至机构邮箱），</w:t>
      </w:r>
      <w:r>
        <w:rPr>
          <w:rFonts w:hint="eastAsia" w:ascii="仿宋_GB2312" w:hAnsi="仿宋_GB2312" w:eastAsia="仿宋_GB2312" w:cs="仿宋_GB2312"/>
          <w:szCs w:val="21"/>
        </w:rPr>
        <w:t>试验期间各项目监查员每次监查后及时将</w:t>
      </w:r>
      <w:r>
        <w:rPr>
          <w:rFonts w:hint="eastAsia" w:ascii="仿宋_GB2312" w:hAnsi="仿宋_GB2312" w:eastAsia="仿宋_GB2312" w:cs="仿宋_GB2312"/>
          <w:color w:val="FF0000"/>
          <w:szCs w:val="21"/>
        </w:rPr>
        <w:t>监查报告</w:t>
      </w:r>
      <w:r>
        <w:rPr>
          <w:rFonts w:hint="eastAsia" w:ascii="仿宋_GB2312" w:hAnsi="仿宋_GB2312" w:eastAsia="仿宋_GB2312" w:cs="仿宋_GB2312"/>
          <w:szCs w:val="21"/>
        </w:rPr>
        <w:t>发至机构邮箱，监查报告至少包括试验进度及试验过程存在的问题。</w:t>
      </w:r>
      <w:r>
        <w:rPr>
          <w:rFonts w:hint="eastAsia" w:ascii="仿宋_GB2312" w:hAnsi="仿宋_GB2312" w:eastAsia="仿宋_GB2312" w:cs="仿宋_GB2312"/>
          <w:color w:val="FF0000"/>
          <w:szCs w:val="21"/>
        </w:rPr>
        <w:t>监查员必须提交公司授权书、个人简历及GCP证书至机构备案方可进行监查。</w:t>
      </w:r>
    </w:p>
    <w:p>
      <w:pPr>
        <w:numPr>
          <w:ilvl w:val="0"/>
          <w:numId w:val="4"/>
        </w:numPr>
        <w:spacing w:line="360" w:lineRule="auto"/>
        <w:rPr>
          <w:rFonts w:ascii="仿宋_GB2312" w:hAnsi="仿宋_GB2312" w:eastAsia="仿宋_GB2312" w:cs="仿宋_GB2312"/>
          <w:szCs w:val="21"/>
        </w:rPr>
      </w:pPr>
      <w:r>
        <w:rPr>
          <w:rFonts w:hint="eastAsia" w:ascii="仿宋_GB2312" w:hAnsi="仿宋_GB2312" w:eastAsia="仿宋_GB2312" w:cs="仿宋_GB2312"/>
          <w:color w:val="000000"/>
          <w:szCs w:val="21"/>
        </w:rPr>
        <w:t>试验期间，对临床试验方案、知情同意书等的修改，请按照</w:t>
      </w:r>
      <w:r>
        <w:rPr>
          <w:rFonts w:hint="eastAsia" w:ascii="仿宋_GB2312" w:hAnsi="仿宋_GB2312" w:eastAsia="仿宋_GB2312" w:cs="仿宋_GB2312"/>
          <w:b/>
          <w:bCs/>
          <w:color w:val="000000"/>
          <w:szCs w:val="21"/>
        </w:rPr>
        <w:t>“送审文件清单”</w:t>
      </w:r>
      <w:r>
        <w:rPr>
          <w:rFonts w:hint="eastAsia" w:ascii="仿宋_GB2312" w:hAnsi="仿宋_GB2312" w:eastAsia="仿宋_GB2312" w:cs="仿宋_GB2312"/>
          <w:color w:val="000000"/>
          <w:szCs w:val="21"/>
        </w:rPr>
        <w:t>中的要求准备材料，伦理审核通过后递交纸质材料至机构办备案。</w:t>
      </w:r>
    </w:p>
    <w:p>
      <w:pPr>
        <w:numPr>
          <w:ilvl w:val="0"/>
          <w:numId w:val="4"/>
        </w:numPr>
        <w:spacing w:line="360" w:lineRule="auto"/>
        <w:rPr>
          <w:rFonts w:ascii="仿宋_GB2312" w:hAnsi="仿宋_GB2312" w:eastAsia="仿宋_GB2312" w:cs="仿宋_GB2312"/>
          <w:szCs w:val="21"/>
        </w:rPr>
      </w:pPr>
      <w:r>
        <w:rPr>
          <w:rFonts w:hint="eastAsia" w:ascii="仿宋_GB2312" w:hAnsi="仿宋_GB2312" w:eastAsia="仿宋_GB2312" w:cs="仿宋_GB2312"/>
          <w:color w:val="FF0000"/>
          <w:szCs w:val="21"/>
        </w:rPr>
        <w:t>研究进展报告：</w:t>
      </w:r>
      <w:r>
        <w:rPr>
          <w:rFonts w:hint="eastAsia" w:ascii="仿宋_GB2312" w:hAnsi="仿宋_GB2312" w:eastAsia="仿宋_GB2312" w:cs="仿宋_GB2312"/>
          <w:szCs w:val="21"/>
        </w:rPr>
        <w:t>应按照伦理审查</w:t>
      </w:r>
      <w:r>
        <w:rPr>
          <w:rFonts w:hint="eastAsia" w:ascii="仿宋_GB2312" w:hAnsi="仿宋_GB2312" w:eastAsia="仿宋_GB2312" w:cs="仿宋_GB2312"/>
          <w:szCs w:val="21"/>
          <w:lang w:val="en-US" w:eastAsia="zh-CN"/>
        </w:rPr>
        <w:t>同意函</w:t>
      </w:r>
      <w:r>
        <w:rPr>
          <w:rFonts w:hint="eastAsia" w:ascii="仿宋_GB2312" w:hAnsi="仿宋_GB2312" w:eastAsia="仿宋_GB2312" w:cs="仿宋_GB2312"/>
          <w:szCs w:val="21"/>
        </w:rPr>
        <w:t>/意见</w:t>
      </w:r>
      <w:r>
        <w:rPr>
          <w:rFonts w:hint="eastAsia" w:ascii="仿宋_GB2312" w:hAnsi="仿宋_GB2312" w:eastAsia="仿宋_GB2312" w:cs="仿宋_GB2312"/>
          <w:szCs w:val="21"/>
          <w:lang w:val="en-US" w:eastAsia="zh-CN"/>
        </w:rPr>
        <w:t>函</w:t>
      </w:r>
      <w:r>
        <w:rPr>
          <w:rFonts w:hint="eastAsia" w:ascii="仿宋_GB2312" w:hAnsi="仿宋_GB2312" w:eastAsia="仿宋_GB2312" w:cs="仿宋_GB2312"/>
          <w:szCs w:val="21"/>
        </w:rPr>
        <w:t>规定的年度/定期跟踪审查频率，在截止日期前1个月提交研究进展报告；当出现任何可能显著影响研究进行、或增加受试者危险的情况时，应以“研究进展报告”的方式，及时报告伦理委员会。</w:t>
      </w:r>
      <w:r>
        <w:rPr>
          <w:rFonts w:hint="eastAsia" w:ascii="仿宋_GB2312" w:hAnsi="仿宋_GB2312" w:eastAsia="仿宋_GB2312" w:cs="仿宋_GB2312"/>
          <w:color w:val="FF0000"/>
          <w:szCs w:val="21"/>
        </w:rPr>
        <w:t>如果伦理审查</w:t>
      </w:r>
      <w:r>
        <w:rPr>
          <w:rFonts w:hint="eastAsia" w:ascii="仿宋_GB2312" w:hAnsi="仿宋_GB2312" w:eastAsia="仿宋_GB2312" w:cs="仿宋_GB2312"/>
          <w:color w:val="FF0000"/>
          <w:szCs w:val="21"/>
          <w:lang w:val="en-US" w:eastAsia="zh-CN"/>
        </w:rPr>
        <w:t>同意函</w:t>
      </w:r>
      <w:r>
        <w:rPr>
          <w:rFonts w:hint="eastAsia" w:ascii="仿宋_GB2312" w:hAnsi="仿宋_GB2312" w:eastAsia="仿宋_GB2312" w:cs="仿宋_GB2312"/>
          <w:color w:val="FF0000"/>
          <w:szCs w:val="21"/>
        </w:rPr>
        <w:t>有效期到期，需要申请延长</w:t>
      </w:r>
      <w:r>
        <w:rPr>
          <w:rFonts w:hint="eastAsia" w:ascii="仿宋_GB2312" w:hAnsi="仿宋_GB2312" w:eastAsia="仿宋_GB2312" w:cs="仿宋_GB2312"/>
          <w:color w:val="FF0000"/>
          <w:szCs w:val="21"/>
          <w:lang w:val="en-US" w:eastAsia="zh-CN"/>
        </w:rPr>
        <w:t>同意函</w:t>
      </w:r>
      <w:r>
        <w:rPr>
          <w:rFonts w:hint="eastAsia" w:ascii="仿宋_GB2312" w:hAnsi="仿宋_GB2312" w:eastAsia="仿宋_GB2312" w:cs="仿宋_GB2312"/>
          <w:color w:val="FF0000"/>
          <w:szCs w:val="21"/>
        </w:rPr>
        <w:t>有效期，应通过“研究进展报告”申请。</w:t>
      </w:r>
    </w:p>
    <w:p>
      <w:pPr>
        <w:numPr>
          <w:ilvl w:val="0"/>
          <w:numId w:val="4"/>
        </w:numPr>
        <w:spacing w:line="360" w:lineRule="auto"/>
        <w:rPr>
          <w:rFonts w:ascii="仿宋_GB2312" w:hAnsi="仿宋_GB2312" w:eastAsia="仿宋_GB2312" w:cs="仿宋_GB2312"/>
          <w:szCs w:val="21"/>
        </w:rPr>
      </w:pPr>
      <w:r>
        <w:rPr>
          <w:rFonts w:hint="eastAsia" w:ascii="仿宋_GB2312" w:hAnsi="仿宋_GB2312" w:eastAsia="仿宋_GB2312" w:cs="仿宋_GB2312"/>
          <w:color w:val="FF0000"/>
          <w:szCs w:val="21"/>
        </w:rPr>
        <w:t>暂停终止试验：</w:t>
      </w:r>
      <w:r>
        <w:rPr>
          <w:rFonts w:hint="eastAsia" w:ascii="仿宋_GB2312" w:hAnsi="仿宋_GB2312" w:eastAsia="仿宋_GB2312" w:cs="仿宋_GB2312"/>
          <w:szCs w:val="21"/>
        </w:rPr>
        <w:t>项目终止时需告知主要研究者、机构办公室、伦理委员会，一式两份提交“试验终止函（加盖公章）”及“暂停终止研究报告”。</w:t>
      </w:r>
    </w:p>
    <w:p>
      <w:pPr>
        <w:spacing w:line="360" w:lineRule="auto"/>
        <w:rPr>
          <w:rFonts w:ascii="仿宋_GB2312" w:hAnsi="仿宋_GB2312" w:eastAsia="仿宋_GB2312" w:cs="仿宋_GB2312"/>
          <w:b/>
          <w:bCs/>
          <w:szCs w:val="21"/>
        </w:rPr>
      </w:pPr>
      <w:r>
        <w:rPr>
          <w:rFonts w:hint="eastAsia" w:ascii="仿宋_GB2312" w:hAnsi="仿宋_GB2312" w:eastAsia="仿宋_GB2312" w:cs="仿宋_GB2312"/>
          <w:b/>
          <w:bCs/>
          <w:szCs w:val="21"/>
        </w:rPr>
        <w:t>五、试验用药品：</w:t>
      </w:r>
    </w:p>
    <w:p>
      <w:pPr>
        <w:numPr>
          <w:ilvl w:val="0"/>
          <w:numId w:val="5"/>
        </w:numPr>
        <w:spacing w:line="360" w:lineRule="auto"/>
        <w:rPr>
          <w:rFonts w:ascii="仿宋_GB2312" w:hAnsi="仿宋_GB2312" w:eastAsia="仿宋_GB2312" w:cs="仿宋_GB2312"/>
          <w:szCs w:val="21"/>
        </w:rPr>
      </w:pPr>
      <w:r>
        <w:rPr>
          <w:rFonts w:hint="eastAsia" w:ascii="仿宋_GB2312" w:hAnsi="仿宋_GB2312" w:eastAsia="仿宋_GB2312" w:cs="仿宋_GB2312"/>
          <w:color w:val="FF0000"/>
          <w:szCs w:val="21"/>
        </w:rPr>
        <w:t>试验药物由机构办公室统一接收</w:t>
      </w:r>
      <w:r>
        <w:rPr>
          <w:rFonts w:hint="eastAsia" w:ascii="仿宋_GB2312" w:hAnsi="仿宋_GB2312" w:eastAsia="仿宋_GB2312" w:cs="仿宋_GB2312"/>
          <w:szCs w:val="21"/>
        </w:rPr>
        <w:t>。特殊情况下需直接送到临床试验专业的，请申办单位及试验专业应提前向机构办公室申请，由机构办公室药品管理员和专业药品管理员及申办方三方同时交接，并做好交接记录；</w:t>
      </w:r>
    </w:p>
    <w:p>
      <w:pPr>
        <w:numPr>
          <w:ilvl w:val="0"/>
          <w:numId w:val="5"/>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申办方提供的温度计应需具备24小时电子监控且与手机关联报警的功能</w:t>
      </w:r>
    </w:p>
    <w:p>
      <w:pPr>
        <w:spacing w:line="360" w:lineRule="auto"/>
        <w:rPr>
          <w:rFonts w:ascii="仿宋_GB2312" w:hAnsi="仿宋_GB2312" w:eastAsia="仿宋_GB2312" w:cs="仿宋_GB2312"/>
          <w:b/>
          <w:bCs/>
          <w:color w:val="000000"/>
          <w:szCs w:val="21"/>
        </w:rPr>
      </w:pPr>
      <w:r>
        <w:rPr>
          <w:rFonts w:hint="eastAsia" w:ascii="仿宋_GB2312" w:hAnsi="仿宋_GB2312" w:eastAsia="仿宋_GB2312" w:cs="仿宋_GB2312"/>
          <w:b/>
          <w:bCs/>
          <w:color w:val="000000"/>
          <w:szCs w:val="21"/>
        </w:rPr>
        <w:t>六、项目结题要求：</w:t>
      </w:r>
    </w:p>
    <w:p>
      <w:pPr>
        <w:numPr>
          <w:ilvl w:val="0"/>
          <w:numId w:val="6"/>
        </w:numPr>
        <w:spacing w:line="360" w:lineRule="auto"/>
        <w:rPr>
          <w:rFonts w:ascii="仿宋_GB2312" w:hAnsi="仿宋_GB2312" w:eastAsia="仿宋_GB2312" w:cs="仿宋_GB2312"/>
          <w:szCs w:val="21"/>
        </w:rPr>
      </w:pPr>
      <w:r>
        <w:rPr>
          <w:rFonts w:hint="eastAsia" w:ascii="仿宋_GB2312" w:hAnsi="仿宋_GB2312" w:eastAsia="仿宋_GB2312" w:cs="仿宋_GB2312"/>
          <w:color w:val="FF0000"/>
          <w:szCs w:val="21"/>
          <w:lang w:val="en-US" w:eastAsia="zh-CN"/>
        </w:rPr>
        <w:t>临床试验结题前，申办者需由自己的稽查部门或委托有资质的第三方稽查公司对该试验进行稽查，并将稽查报告递交机构办公室。</w:t>
      </w:r>
    </w:p>
    <w:p>
      <w:pPr>
        <w:numPr>
          <w:ilvl w:val="0"/>
          <w:numId w:val="6"/>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向伦理委员会递交“研究完成报告”。</w:t>
      </w:r>
    </w:p>
    <w:p>
      <w:pPr>
        <w:numPr>
          <w:ilvl w:val="0"/>
          <w:numId w:val="6"/>
        </w:numPr>
        <w:spacing w:line="360" w:lineRule="auto"/>
        <w:rPr>
          <w:rFonts w:ascii="仿宋_GB2312" w:hAnsi="仿宋_GB2312" w:eastAsia="仿宋_GB2312" w:cs="仿宋_GB2312"/>
          <w:szCs w:val="21"/>
        </w:rPr>
      </w:pPr>
      <w:r>
        <w:rPr>
          <w:rFonts w:hint="eastAsia" w:ascii="仿宋_GB2312" w:hAnsi="仿宋_GB2312" w:eastAsia="仿宋_GB2312" w:cs="仿宋_GB2312"/>
          <w:color w:val="FF0000"/>
          <w:szCs w:val="21"/>
        </w:rPr>
        <w:t>提前与机构预约，现场</w:t>
      </w:r>
      <w:r>
        <w:rPr>
          <w:rFonts w:hint="eastAsia" w:ascii="仿宋_GB2312" w:hAnsi="仿宋_GB2312" w:eastAsia="仿宋_GB2312" w:cs="仿宋_GB2312"/>
          <w:szCs w:val="21"/>
        </w:rPr>
        <w:t>配合机构按照“临床试验资料归档目录”完成资料整理归档。</w:t>
      </w:r>
    </w:p>
    <w:p>
      <w:pPr>
        <w:numPr>
          <w:ilvl w:val="0"/>
          <w:numId w:val="6"/>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按照合同条款，将所有试验费用结清， 提交费用结算清单。</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w:t>
      </w:r>
      <w:r>
        <w:rPr>
          <w:rFonts w:hint="eastAsia" w:ascii="仿宋_GB2312" w:hAnsi="仿宋_GB2312" w:eastAsia="仿宋_GB2312" w:cs="仿宋_GB2312"/>
          <w:color w:val="FF0000"/>
          <w:szCs w:val="21"/>
        </w:rPr>
        <w:t>要求：详细列出每例受试者的相关费用（受试者费用需与研究者观察费分开列出），经主要研究者审核无误并签字，公司盖章后交至机构办。</w:t>
      </w:r>
    </w:p>
    <w:p>
      <w:pPr>
        <w:numPr>
          <w:ilvl w:val="0"/>
          <w:numId w:val="6"/>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在完成上述要求后，机构方给小结报告和总结报告盖章。</w:t>
      </w:r>
    </w:p>
    <w:p>
      <w:pPr>
        <w:numPr>
          <w:ilvl w:val="0"/>
          <w:numId w:val="6"/>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分中心小结报告提交2份（原件），总结报告提交2份（原件）。</w:t>
      </w:r>
    </w:p>
    <w:p>
      <w:pPr>
        <w:spacing w:line="360" w:lineRule="auto"/>
        <w:rPr>
          <w:rFonts w:ascii="仿宋_GB2312" w:hAnsi="仿宋_GB2312" w:eastAsia="仿宋_GB2312" w:cs="仿宋_GB2312"/>
          <w:szCs w:val="21"/>
        </w:rPr>
      </w:pP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感谢您的理解与支持！</w:t>
      </w:r>
    </w:p>
    <w:p>
      <w:pPr>
        <w:spacing w:line="360" w:lineRule="auto"/>
        <w:ind w:left="435"/>
        <w:rPr>
          <w:rFonts w:ascii="仿宋_GB2312" w:hAnsi="仿宋_GB2312" w:eastAsia="仿宋_GB2312" w:cs="仿宋_GB2312"/>
          <w:szCs w:val="21"/>
        </w:rPr>
      </w:pPr>
    </w:p>
    <w:p>
      <w:pPr>
        <w:spacing w:line="360" w:lineRule="auto"/>
        <w:jc w:val="right"/>
        <w:rPr>
          <w:rFonts w:ascii="仿宋_GB2312" w:hAnsi="仿宋_GB2312" w:eastAsia="仿宋_GB2312" w:cs="仿宋_GB2312"/>
          <w:szCs w:val="21"/>
        </w:rPr>
      </w:pPr>
      <w:r>
        <w:rPr>
          <w:rFonts w:hint="eastAsia" w:ascii="仿宋_GB2312" w:hAnsi="仿宋_GB2312" w:eastAsia="仿宋_GB2312" w:cs="仿宋_GB2312"/>
        </w:rPr>
        <w:t>赣州市人民医院药物临床试验机构办公室</w:t>
      </w:r>
    </w:p>
    <w:p>
      <w:pPr>
        <w:pStyle w:val="7"/>
        <w:rPr>
          <w:rFonts w:ascii="仿宋_GB2312" w:hAnsi="仿宋_GB2312" w:eastAsia="仿宋_GB2312" w:cs="仿宋_GB2312"/>
        </w:rPr>
      </w:pPr>
    </w:p>
    <w:p>
      <w:pPr>
        <w:pStyle w:val="7"/>
        <w:rPr>
          <w:rFonts w:ascii="仿宋_GB2312" w:hAnsi="仿宋_GB2312" w:eastAsia="仿宋_GB2312" w:cs="仿宋_GB2312"/>
          <w:sz w:val="21"/>
          <w:szCs w:val="21"/>
        </w:rPr>
      </w:pPr>
      <w:r>
        <w:rPr>
          <w:rFonts w:hint="eastAsia" w:ascii="仿宋_GB2312" w:hAnsi="仿宋_GB2312" w:eastAsia="仿宋_GB2312" w:cs="仿宋_GB2312"/>
          <w:sz w:val="21"/>
          <w:szCs w:val="21"/>
        </w:rPr>
        <w:t>附相关信息：</w:t>
      </w:r>
    </w:p>
    <w:p>
      <w:pPr>
        <w:pStyle w:val="7"/>
        <w:rPr>
          <w:rFonts w:ascii="仿宋_GB2312" w:hAnsi="仿宋_GB2312" w:eastAsia="仿宋_GB2312" w:cs="仿宋_GB2312"/>
          <w:sz w:val="21"/>
          <w:szCs w:val="21"/>
        </w:rPr>
      </w:pPr>
    </w:p>
    <w:p>
      <w:pPr>
        <w:pStyle w:val="7"/>
        <w:numPr>
          <w:ilvl w:val="0"/>
          <w:numId w:val="7"/>
        </w:numPr>
        <w:spacing w:line="360" w:lineRule="auto"/>
        <w:rPr>
          <w:rFonts w:ascii="仿宋_GB2312" w:hAnsi="仿宋_GB2312" w:eastAsia="仿宋_GB2312" w:cs="仿宋_GB2312"/>
          <w:sz w:val="21"/>
          <w:szCs w:val="21"/>
        </w:rPr>
      </w:pPr>
      <w:r>
        <w:rPr>
          <w:rFonts w:hint="eastAsia" w:ascii="仿宋_GB2312" w:hAnsi="仿宋_GB2312" w:eastAsia="仿宋_GB2312" w:cs="仿宋_GB2312"/>
          <w:sz w:val="21"/>
          <w:szCs w:val="21"/>
        </w:rPr>
        <w:t>机构办公室联系人：</w:t>
      </w:r>
    </w:p>
    <w:p>
      <w:pPr>
        <w:pStyle w:val="7"/>
        <w:numPr>
          <w:ilvl w:val="0"/>
          <w:numId w:val="0"/>
        </w:numPr>
        <w:spacing w:line="360" w:lineRule="auto"/>
        <w:ind w:firstLine="420" w:firstLineChars="20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立项：刘名义               电话：15179158635</w:t>
      </w:r>
    </w:p>
    <w:p>
      <w:pPr>
        <w:pStyle w:val="7"/>
        <w:numPr>
          <w:ilvl w:val="0"/>
          <w:numId w:val="0"/>
        </w:numPr>
        <w:spacing w:line="360" w:lineRule="auto"/>
        <w:ind w:firstLine="420" w:firstLineChars="20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 xml:space="preserve">合同：薛小燕               电话：15907074537             </w:t>
      </w:r>
    </w:p>
    <w:p>
      <w:pPr>
        <w:pStyle w:val="7"/>
        <w:numPr>
          <w:ilvl w:val="0"/>
          <w:numId w:val="0"/>
        </w:numPr>
        <w:spacing w:line="360" w:lineRule="auto"/>
        <w:ind w:firstLine="420" w:firstLineChars="20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药物：刘良裕               电话：15216138867</w:t>
      </w:r>
    </w:p>
    <w:p>
      <w:pPr>
        <w:pStyle w:val="7"/>
        <w:spacing w:line="360" w:lineRule="auto"/>
        <w:rPr>
          <w:rFonts w:ascii="仿宋_GB2312" w:hAnsi="仿宋_GB2312" w:eastAsia="仿宋_GB2312" w:cs="仿宋_GB2312"/>
          <w:sz w:val="21"/>
          <w:szCs w:val="21"/>
        </w:rPr>
      </w:pPr>
      <w:r>
        <w:rPr>
          <w:rFonts w:hint="eastAsia" w:ascii="仿宋_GB2312" w:hAnsi="仿宋_GB2312" w:eastAsia="仿宋_GB2312" w:cs="仿宋_GB2312"/>
          <w:sz w:val="21"/>
          <w:szCs w:val="21"/>
        </w:rPr>
        <w:t xml:space="preserve">   </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办公电话：0797-5889198      邮箱：</w:t>
      </w:r>
      <w:r>
        <w:fldChar w:fldCharType="begin"/>
      </w:r>
      <w:r>
        <w:instrText xml:space="preserve"> HYPERLINK "mailto:xdfygcp@sina.com" </w:instrText>
      </w:r>
      <w:r>
        <w:fldChar w:fldCharType="separate"/>
      </w:r>
      <w:r>
        <w:rPr>
          <w:rFonts w:hint="eastAsia" w:ascii="仿宋_GB2312" w:hAnsi="仿宋_GB2312" w:eastAsia="仿宋_GB2312" w:cs="仿宋_GB2312"/>
          <w:sz w:val="21"/>
          <w:szCs w:val="21"/>
        </w:rPr>
        <w:t>gzsrmyygcp@163.com</w:t>
      </w:r>
      <w:r>
        <w:rPr>
          <w:rFonts w:hint="eastAsia" w:ascii="仿宋_GB2312" w:hAnsi="仿宋_GB2312" w:eastAsia="仿宋_GB2312" w:cs="仿宋_GB2312"/>
          <w:sz w:val="21"/>
          <w:szCs w:val="21"/>
        </w:rPr>
        <w:fldChar w:fldCharType="end"/>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地址：江西省赣州市章贡区梅关大道16号，培训楼405室  </w:t>
      </w:r>
    </w:p>
    <w:p>
      <w:pPr>
        <w:numPr>
          <w:ilvl w:val="0"/>
          <w:numId w:val="8"/>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伦理办公室联系人：张桂青</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办公电话：0797-5889157   邮箱：gzsrmyyywlcsyllwyh@163.com</w:t>
      </w:r>
    </w:p>
    <w:p>
      <w:pPr>
        <w:spacing w:line="360" w:lineRule="auto"/>
        <w:rPr>
          <w:rFonts w:hint="eastAsia" w:ascii="仿宋_GB2312" w:hAnsi="仿宋_GB2312" w:eastAsia="仿宋_GB2312" w:cs="仿宋_GB2312"/>
          <w:szCs w:val="21"/>
          <w:lang w:val="en-US" w:eastAsia="zh-CN"/>
        </w:rPr>
      </w:pPr>
      <w:r>
        <w:rPr>
          <w:rFonts w:hint="eastAsia" w:ascii="仿宋_GB2312" w:hAnsi="仿宋_GB2312" w:eastAsia="仿宋_GB2312" w:cs="仿宋_GB2312"/>
          <w:szCs w:val="21"/>
        </w:rPr>
        <w:t xml:space="preserve">   地址：江西省赣州市章贡区梅关大道16号，</w:t>
      </w:r>
      <w:r>
        <w:rPr>
          <w:rFonts w:hint="eastAsia" w:ascii="仿宋_GB2312" w:hAnsi="仿宋_GB2312" w:eastAsia="仿宋_GB2312" w:cs="仿宋_GB2312"/>
          <w:szCs w:val="21"/>
          <w:lang w:val="en-US" w:eastAsia="zh-CN"/>
        </w:rPr>
        <w:t>培训楼四楼</w:t>
      </w:r>
    </w:p>
    <w:p>
      <w:pPr>
        <w:numPr>
          <w:ilvl w:val="0"/>
          <w:numId w:val="9"/>
        </w:num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赣州市人民医院对公账户：</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账户名称：赣州市人民医院</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账  号：1510 2201 0902 6473 030</w:t>
      </w:r>
    </w:p>
    <w:p>
      <w:pPr>
        <w:spacing w:line="360" w:lineRule="auto"/>
        <w:rPr>
          <w:rFonts w:ascii="仿宋_GB2312" w:hAnsi="仿宋_GB2312" w:eastAsia="仿宋_GB2312" w:cs="仿宋_GB2312"/>
          <w:szCs w:val="21"/>
        </w:rPr>
      </w:pPr>
      <w:r>
        <w:rPr>
          <w:rFonts w:hint="eastAsia" w:ascii="仿宋_GB2312" w:hAnsi="仿宋_GB2312" w:eastAsia="仿宋_GB2312" w:cs="仿宋_GB2312"/>
          <w:szCs w:val="21"/>
        </w:rPr>
        <w:t xml:space="preserve">   开户银行：工商银行赣州市虔城支行</w:t>
      </w:r>
    </w:p>
    <w:p>
      <w:pPr>
        <w:spacing w:line="360" w:lineRule="auto"/>
        <w:rPr>
          <w:rFonts w:ascii="仿宋_GB2312" w:hAnsi="仿宋_GB2312" w:eastAsia="仿宋_GB2312" w:cs="仿宋_GB2312"/>
          <w:szCs w:val="21"/>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rPr>
        <w:rFonts w:ascii="仿宋_GB2312" w:hAnsi="仿宋_GB2312" w:eastAsia="仿宋_GB2312" w:cs="仿宋_GB2312"/>
      </w:rPr>
    </w:pPr>
    <w:r>
      <w:rPr>
        <w:rFonts w:hint="eastAsia" w:ascii="仿宋_GB2312" w:hAnsi="仿宋_GB2312" w:eastAsia="仿宋_GB2312" w:cs="仿宋_GB2312"/>
      </w:rPr>
      <w:t>赣州市人民医院药物临床试验机构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821606"/>
    <w:multiLevelType w:val="singleLevel"/>
    <w:tmpl w:val="4B821606"/>
    <w:lvl w:ilvl="0" w:tentative="0">
      <w:start w:val="1"/>
      <w:numFmt w:val="chineseCounting"/>
      <w:suff w:val="nothing"/>
      <w:lvlText w:val="%1、"/>
      <w:lvlJc w:val="left"/>
      <w:rPr>
        <w:rFonts w:hint="eastAsia"/>
      </w:rPr>
    </w:lvl>
  </w:abstractNum>
  <w:abstractNum w:abstractNumId="1">
    <w:nsid w:val="52D49C50"/>
    <w:multiLevelType w:val="singleLevel"/>
    <w:tmpl w:val="52D49C50"/>
    <w:lvl w:ilvl="0" w:tentative="0">
      <w:start w:val="1"/>
      <w:numFmt w:val="decimal"/>
      <w:suff w:val="space"/>
      <w:lvlText w:val="%1."/>
      <w:lvlJc w:val="left"/>
    </w:lvl>
  </w:abstractNum>
  <w:abstractNum w:abstractNumId="2">
    <w:nsid w:val="52DDE6D9"/>
    <w:multiLevelType w:val="singleLevel"/>
    <w:tmpl w:val="52DDE6D9"/>
    <w:lvl w:ilvl="0" w:tentative="0">
      <w:start w:val="1"/>
      <w:numFmt w:val="decimal"/>
      <w:lvlText w:val="%1."/>
      <w:lvlJc w:val="left"/>
      <w:pPr>
        <w:tabs>
          <w:tab w:val="left" w:pos="425"/>
        </w:tabs>
        <w:ind w:left="425" w:hanging="425"/>
      </w:pPr>
      <w:rPr>
        <w:rFonts w:hint="default"/>
      </w:rPr>
    </w:lvl>
  </w:abstractNum>
  <w:abstractNum w:abstractNumId="3">
    <w:nsid w:val="52DDEABD"/>
    <w:multiLevelType w:val="singleLevel"/>
    <w:tmpl w:val="52DDEABD"/>
    <w:lvl w:ilvl="0" w:tentative="0">
      <w:start w:val="1"/>
      <w:numFmt w:val="decimal"/>
      <w:lvlText w:val="%1."/>
      <w:lvlJc w:val="left"/>
      <w:pPr>
        <w:tabs>
          <w:tab w:val="left" w:pos="425"/>
        </w:tabs>
        <w:ind w:left="425" w:hanging="425"/>
      </w:pPr>
      <w:rPr>
        <w:rFonts w:hint="default"/>
      </w:rPr>
    </w:lvl>
  </w:abstractNum>
  <w:abstractNum w:abstractNumId="4">
    <w:nsid w:val="52E61F25"/>
    <w:multiLevelType w:val="singleLevel"/>
    <w:tmpl w:val="52E61F25"/>
    <w:lvl w:ilvl="0" w:tentative="0">
      <w:start w:val="1"/>
      <w:numFmt w:val="decimal"/>
      <w:suff w:val="nothing"/>
      <w:lvlText w:val="%1、"/>
      <w:lvlJc w:val="left"/>
    </w:lvl>
  </w:abstractNum>
  <w:abstractNum w:abstractNumId="5">
    <w:nsid w:val="52E61F50"/>
    <w:multiLevelType w:val="singleLevel"/>
    <w:tmpl w:val="52E61F50"/>
    <w:lvl w:ilvl="0" w:tentative="0">
      <w:start w:val="2"/>
      <w:numFmt w:val="decimal"/>
      <w:suff w:val="nothing"/>
      <w:lvlText w:val="%1、"/>
      <w:lvlJc w:val="left"/>
    </w:lvl>
  </w:abstractNum>
  <w:abstractNum w:abstractNumId="6">
    <w:nsid w:val="536AE1CC"/>
    <w:multiLevelType w:val="singleLevel"/>
    <w:tmpl w:val="536AE1CC"/>
    <w:lvl w:ilvl="0" w:tentative="0">
      <w:start w:val="1"/>
      <w:numFmt w:val="decimal"/>
      <w:suff w:val="space"/>
      <w:lvlText w:val="%1."/>
      <w:lvlJc w:val="left"/>
    </w:lvl>
  </w:abstractNum>
  <w:abstractNum w:abstractNumId="7">
    <w:nsid w:val="54100382"/>
    <w:multiLevelType w:val="singleLevel"/>
    <w:tmpl w:val="54100382"/>
    <w:lvl w:ilvl="0" w:tentative="0">
      <w:start w:val="3"/>
      <w:numFmt w:val="decimal"/>
      <w:suff w:val="nothing"/>
      <w:lvlText w:val="%1、"/>
      <w:lvlJc w:val="left"/>
    </w:lvl>
  </w:abstractNum>
  <w:abstractNum w:abstractNumId="8">
    <w:nsid w:val="5710932C"/>
    <w:multiLevelType w:val="singleLevel"/>
    <w:tmpl w:val="5710932C"/>
    <w:lvl w:ilvl="0" w:tentative="0">
      <w:start w:val="1"/>
      <w:numFmt w:val="decimal"/>
      <w:suff w:val="nothing"/>
      <w:lvlText w:val="%1."/>
      <w:lvlJc w:val="left"/>
    </w:lvl>
  </w:abstractNum>
  <w:num w:numId="1">
    <w:abstractNumId w:val="0"/>
  </w:num>
  <w:num w:numId="2">
    <w:abstractNumId w:val="1"/>
  </w:num>
  <w:num w:numId="3">
    <w:abstractNumId w:val="6"/>
  </w:num>
  <w:num w:numId="4">
    <w:abstractNumId w:val="2"/>
  </w:num>
  <w:num w:numId="5">
    <w:abstractNumId w:val="8"/>
  </w:num>
  <w:num w:numId="6">
    <w:abstractNumId w:val="3"/>
  </w:num>
  <w:num w:numId="7">
    <w:abstractNumId w:val="4"/>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HorizontalSpacing w:val="0"/>
  <w:drawingGridVerticalSpacing w:val="156"/>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172A27"/>
    <w:rsid w:val="001A255D"/>
    <w:rsid w:val="002D0D73"/>
    <w:rsid w:val="003E4B03"/>
    <w:rsid w:val="006273CA"/>
    <w:rsid w:val="00666E6D"/>
    <w:rsid w:val="00770865"/>
    <w:rsid w:val="007861CC"/>
    <w:rsid w:val="00814E54"/>
    <w:rsid w:val="008A4CC2"/>
    <w:rsid w:val="008E4AA1"/>
    <w:rsid w:val="0093173D"/>
    <w:rsid w:val="00C203DE"/>
    <w:rsid w:val="00C213BD"/>
    <w:rsid w:val="00EE1F5F"/>
    <w:rsid w:val="00FD0F83"/>
    <w:rsid w:val="05527C7C"/>
    <w:rsid w:val="06034A31"/>
    <w:rsid w:val="07B134A8"/>
    <w:rsid w:val="0C7E422A"/>
    <w:rsid w:val="0D092C08"/>
    <w:rsid w:val="0F236366"/>
    <w:rsid w:val="0FF91704"/>
    <w:rsid w:val="100B3EC0"/>
    <w:rsid w:val="10945D7A"/>
    <w:rsid w:val="14B45468"/>
    <w:rsid w:val="169B3A1C"/>
    <w:rsid w:val="1A217700"/>
    <w:rsid w:val="21AB2DB0"/>
    <w:rsid w:val="224D4992"/>
    <w:rsid w:val="24236999"/>
    <w:rsid w:val="249C74EE"/>
    <w:rsid w:val="253217B6"/>
    <w:rsid w:val="27F95D29"/>
    <w:rsid w:val="2B3B7B26"/>
    <w:rsid w:val="2DD459B9"/>
    <w:rsid w:val="32FA34F0"/>
    <w:rsid w:val="337A3F29"/>
    <w:rsid w:val="342F5050"/>
    <w:rsid w:val="344E7CE8"/>
    <w:rsid w:val="3E813CE3"/>
    <w:rsid w:val="430E3C31"/>
    <w:rsid w:val="43AE6398"/>
    <w:rsid w:val="4E1379A3"/>
    <w:rsid w:val="56CA0C7E"/>
    <w:rsid w:val="592E3BBD"/>
    <w:rsid w:val="5C96583F"/>
    <w:rsid w:val="5DC5289A"/>
    <w:rsid w:val="6CA83EE2"/>
    <w:rsid w:val="6E2230EB"/>
    <w:rsid w:val="71BE49AA"/>
    <w:rsid w:val="72381643"/>
    <w:rsid w:val="72630473"/>
    <w:rsid w:val="73384BAA"/>
    <w:rsid w:val="74724697"/>
    <w:rsid w:val="78FD77BC"/>
    <w:rsid w:val="7A4B2E27"/>
    <w:rsid w:val="7D2D3ED3"/>
    <w:rsid w:val="7FC747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name="toc 2"/>
    <w:lsdException w:qFormat="1" w:unhideWhenUsed="0" w:uiPriority="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line="578" w:lineRule="auto"/>
      <w:jc w:val="center"/>
      <w:outlineLvl w:val="0"/>
    </w:pPr>
    <w:rPr>
      <w:b/>
      <w:bCs/>
      <w:kern w:val="44"/>
      <w:sz w:val="32"/>
      <w:szCs w:val="44"/>
    </w:rPr>
  </w:style>
  <w:style w:type="paragraph" w:styleId="3">
    <w:name w:val="heading 2"/>
    <w:basedOn w:val="1"/>
    <w:next w:val="1"/>
    <w:qFormat/>
    <w:uiPriority w:val="0"/>
    <w:pPr>
      <w:keepNext/>
      <w:keepLines/>
      <w:spacing w:line="415" w:lineRule="auto"/>
      <w:jc w:val="center"/>
      <w:outlineLvl w:val="1"/>
    </w:pPr>
    <w:rPr>
      <w:rFonts w:ascii="宋体" w:hAnsi="宋体" w:eastAsia="楷体_GB2312"/>
      <w:b/>
      <w:bCs/>
      <w:kern w:val="0"/>
      <w:sz w:val="36"/>
      <w:szCs w:val="36"/>
    </w:rPr>
  </w:style>
  <w:style w:type="character" w:default="1" w:styleId="11">
    <w:name w:val="Default Paragraph Font"/>
    <w:semiHidden/>
    <w:unhideWhenUsed/>
    <w:qFormat/>
    <w:uiPriority w:val="1"/>
  </w:style>
  <w:style w:type="table" w:default="1" w:styleId="21">
    <w:name w:val="Normal Table"/>
    <w:semiHidden/>
    <w:unhideWhenUsed/>
    <w:qFormat/>
    <w:uiPriority w:val="99"/>
    <w:tblPr>
      <w:tblLayout w:type="fixed"/>
      <w:tblCellMar>
        <w:top w:w="0" w:type="dxa"/>
        <w:left w:w="108" w:type="dxa"/>
        <w:bottom w:w="0" w:type="dxa"/>
        <w:right w:w="108" w:type="dxa"/>
      </w:tblCellMar>
    </w:tblPr>
  </w:style>
  <w:style w:type="paragraph" w:styleId="4">
    <w:name w:val="Body Text Indent"/>
    <w:basedOn w:val="1"/>
    <w:qFormat/>
    <w:uiPriority w:val="0"/>
    <w:pPr>
      <w:ind w:firstLine="420" w:firstLineChars="200"/>
    </w:pPr>
  </w:style>
  <w:style w:type="paragraph" w:styleId="5">
    <w:name w:val="toc 3"/>
    <w:basedOn w:val="1"/>
    <w:next w:val="1"/>
    <w:semiHidden/>
    <w:qFormat/>
    <w:uiPriority w:val="0"/>
    <w:pPr>
      <w:tabs>
        <w:tab w:val="right" w:leader="dot" w:pos="8302"/>
      </w:tabs>
      <w:snapToGrid w:val="0"/>
      <w:spacing w:line="360" w:lineRule="auto"/>
      <w:ind w:left="200" w:hanging="200" w:hangingChars="200"/>
      <w:jc w:val="left"/>
    </w:pPr>
    <w:rPr>
      <w:rFonts w:ascii="宋体" w:hAnsi="宋体"/>
      <w:iCs/>
      <w:sz w:val="24"/>
      <w:szCs w:val="28"/>
    </w:rPr>
  </w:style>
  <w:style w:type="paragraph" w:styleId="6">
    <w:name w:val="Date"/>
    <w:basedOn w:val="1"/>
    <w:next w:val="1"/>
    <w:qFormat/>
    <w:uiPriority w:val="0"/>
    <w:pPr>
      <w:ind w:left="100" w:leftChars="2500"/>
    </w:p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2"/>
    <w:basedOn w:val="1"/>
    <w:next w:val="1"/>
    <w:semiHidden/>
    <w:qFormat/>
    <w:uiPriority w:val="0"/>
    <w:pPr>
      <w:tabs>
        <w:tab w:val="right" w:leader="dot" w:pos="8302"/>
      </w:tabs>
      <w:spacing w:line="360" w:lineRule="auto"/>
      <w:ind w:left="200" w:hanging="200" w:hangingChars="200"/>
      <w:jc w:val="left"/>
    </w:pPr>
    <w:rPr>
      <w:rFonts w:ascii="宋体" w:hAnsi="宋体"/>
      <w:bCs/>
      <w:caps/>
      <w:sz w:val="24"/>
      <w:szCs w:val="28"/>
    </w:rPr>
  </w:style>
  <w:style w:type="paragraph" w:styleId="10">
    <w:name w:val="Normal (Web)"/>
    <w:basedOn w:val="1"/>
    <w:qFormat/>
    <w:uiPriority w:val="0"/>
    <w:pPr>
      <w:widowControl/>
      <w:spacing w:beforeAutospacing="1" w:afterAutospacing="1"/>
      <w:jc w:val="left"/>
    </w:pPr>
    <w:rPr>
      <w:rFonts w:ascii="宋体" w:hAnsi="宋体" w:cs="宋体"/>
      <w:kern w:val="0"/>
      <w:sz w:val="24"/>
    </w:rPr>
  </w:style>
  <w:style w:type="character" w:styleId="12">
    <w:name w:val="Strong"/>
    <w:basedOn w:val="11"/>
    <w:uiPriority w:val="0"/>
    <w:rPr>
      <w:b/>
    </w:rPr>
  </w:style>
  <w:style w:type="character" w:styleId="13">
    <w:name w:val="page number"/>
    <w:basedOn w:val="11"/>
    <w:qFormat/>
    <w:uiPriority w:val="0"/>
  </w:style>
  <w:style w:type="character" w:styleId="14">
    <w:name w:val="FollowedHyperlink"/>
    <w:basedOn w:val="11"/>
    <w:qFormat/>
    <w:uiPriority w:val="0"/>
    <w:rPr>
      <w:color w:val="800080"/>
      <w:u w:val="none"/>
    </w:rPr>
  </w:style>
  <w:style w:type="character" w:styleId="15">
    <w:name w:val="Emphasis"/>
    <w:basedOn w:val="11"/>
    <w:qFormat/>
    <w:uiPriority w:val="0"/>
  </w:style>
  <w:style w:type="character" w:styleId="16">
    <w:name w:val="HTML Definition"/>
    <w:basedOn w:val="11"/>
    <w:qFormat/>
    <w:uiPriority w:val="0"/>
    <w:rPr>
      <w:i/>
    </w:rPr>
  </w:style>
  <w:style w:type="character" w:styleId="17">
    <w:name w:val="HTML Variable"/>
    <w:basedOn w:val="11"/>
    <w:qFormat/>
    <w:uiPriority w:val="0"/>
    <w:rPr>
      <w:i/>
    </w:rPr>
  </w:style>
  <w:style w:type="character" w:styleId="18">
    <w:name w:val="Hyperlink"/>
    <w:basedOn w:val="11"/>
    <w:qFormat/>
    <w:uiPriority w:val="0"/>
    <w:rPr>
      <w:color w:val="0000FF"/>
      <w:u w:val="none"/>
    </w:rPr>
  </w:style>
  <w:style w:type="character" w:styleId="19">
    <w:name w:val="HTML Code"/>
    <w:basedOn w:val="11"/>
    <w:qFormat/>
    <w:uiPriority w:val="0"/>
    <w:rPr>
      <w:rFonts w:ascii="Courier New" w:hAnsi="Courier New"/>
      <w:sz w:val="20"/>
    </w:rPr>
  </w:style>
  <w:style w:type="character" w:styleId="20">
    <w:name w:val="HTML Cite"/>
    <w:basedOn w:val="11"/>
    <w:qFormat/>
    <w:uiPriority w:val="0"/>
  </w:style>
  <w:style w:type="paragraph" w:customStyle="1" w:styleId="22">
    <w:name w:val="样式 标题 2 + 居中"/>
    <w:basedOn w:val="3"/>
    <w:qFormat/>
    <w:uiPriority w:val="0"/>
    <w:rPr>
      <w:rFonts w:cs="宋体"/>
      <w:szCs w:val="20"/>
    </w:rPr>
  </w:style>
  <w:style w:type="paragraph" w:customStyle="1" w:styleId="23">
    <w:name w:val="p15"/>
    <w:basedOn w:val="1"/>
    <w:qFormat/>
    <w:uiPriority w:val="0"/>
    <w:pPr>
      <w:widowControl/>
      <w:pBdr>
        <w:bottom w:val="single" w:color="000000" w:sz="6" w:space="1"/>
      </w:pBdr>
      <w:jc w:val="center"/>
    </w:pPr>
    <w:rPr>
      <w:kern w:val="0"/>
      <w:sz w:val="18"/>
      <w:szCs w:val="18"/>
    </w:rPr>
  </w:style>
  <w:style w:type="character" w:customStyle="1" w:styleId="24">
    <w:name w:val="gmcloseico4"/>
    <w:basedOn w:val="11"/>
    <w:qFormat/>
    <w:uiPriority w:val="0"/>
  </w:style>
  <w:style w:type="character" w:customStyle="1" w:styleId="25">
    <w:name w:val="pagenumlist"/>
    <w:basedOn w:val="11"/>
    <w:qFormat/>
    <w:uiPriority w:val="0"/>
  </w:style>
  <w:style w:type="character" w:customStyle="1" w:styleId="26">
    <w:name w:val="gmcloseico6"/>
    <w:basedOn w:val="11"/>
    <w:qFormat/>
    <w:uiPriority w:val="0"/>
  </w:style>
  <w:style w:type="character" w:customStyle="1" w:styleId="27">
    <w:name w:val="pione"/>
    <w:basedOn w:val="11"/>
    <w:qFormat/>
    <w:uiPriority w:val="0"/>
    <w:rPr>
      <w:color w:val="689ACB"/>
    </w:rPr>
  </w:style>
  <w:style w:type="character" w:customStyle="1" w:styleId="28">
    <w:name w:val="fhtml"/>
    <w:basedOn w:val="11"/>
    <w:qFormat/>
    <w:uiPriority w:val="0"/>
  </w:style>
  <w:style w:type="character" w:customStyle="1" w:styleId="29">
    <w:name w:val="imgtwo"/>
    <w:basedOn w:val="11"/>
    <w:qFormat/>
    <w:uiPriority w:val="0"/>
  </w:style>
  <w:style w:type="character" w:customStyle="1" w:styleId="30">
    <w:name w:val="ebllong"/>
    <w:basedOn w:val="11"/>
    <w:qFormat/>
    <w:uiPriority w:val="0"/>
  </w:style>
  <w:style w:type="character" w:customStyle="1" w:styleId="31">
    <w:name w:val="cursorico1"/>
    <w:basedOn w:val="11"/>
    <w:qFormat/>
    <w:uiPriority w:val="0"/>
  </w:style>
  <w:style w:type="character" w:customStyle="1" w:styleId="32">
    <w:name w:val="telmaillink"/>
    <w:basedOn w:val="11"/>
    <w:qFormat/>
    <w:uiPriority w:val="0"/>
  </w:style>
  <w:style w:type="character" w:customStyle="1" w:styleId="33">
    <w:name w:val="offbtn3"/>
    <w:basedOn w:val="11"/>
    <w:qFormat/>
    <w:uiPriority w:val="0"/>
  </w:style>
  <w:style w:type="character" w:customStyle="1" w:styleId="34">
    <w:name w:val="checkbox"/>
    <w:basedOn w:val="11"/>
    <w:qFormat/>
    <w:uiPriority w:val="0"/>
    <w:rPr>
      <w:sz w:val="18"/>
      <w:szCs w:val="18"/>
    </w:rPr>
  </w:style>
  <w:style w:type="character" w:customStyle="1" w:styleId="35">
    <w:name w:val="offbtn"/>
    <w:basedOn w:val="11"/>
    <w:qFormat/>
    <w:uiPriority w:val="0"/>
  </w:style>
  <w:style w:type="character" w:customStyle="1" w:styleId="36">
    <w:name w:val="nusleftarrow"/>
    <w:basedOn w:val="11"/>
    <w:qFormat/>
    <w:uiPriority w:val="0"/>
  </w:style>
  <w:style w:type="character" w:customStyle="1" w:styleId="37">
    <w:name w:val="gmcloseico1"/>
    <w:basedOn w:val="11"/>
    <w:qFormat/>
    <w:uiPriority w:val="0"/>
  </w:style>
  <w:style w:type="character" w:customStyle="1" w:styleId="38">
    <w:name w:val="admuiperson"/>
    <w:basedOn w:val="11"/>
    <w:qFormat/>
    <w:uiPriority w:val="0"/>
  </w:style>
  <w:style w:type="character" w:customStyle="1" w:styleId="39">
    <w:name w:val="brtop1"/>
    <w:basedOn w:val="11"/>
    <w:qFormat/>
    <w:uiPriority w:val="0"/>
  </w:style>
  <w:style w:type="character" w:customStyle="1" w:styleId="40">
    <w:name w:val="num14"/>
    <w:basedOn w:val="11"/>
    <w:qFormat/>
    <w:uiPriority w:val="0"/>
    <w:rPr>
      <w:b/>
    </w:rPr>
  </w:style>
  <w:style w:type="character" w:customStyle="1" w:styleId="41">
    <w:name w:val="offbtn2"/>
    <w:basedOn w:val="11"/>
    <w:qFormat/>
    <w:uiPriority w:val="0"/>
  </w:style>
  <w:style w:type="character" w:customStyle="1" w:styleId="42">
    <w:name w:val="nusleftarrow1"/>
    <w:basedOn w:val="11"/>
    <w:qFormat/>
    <w:uiPriority w:val="0"/>
  </w:style>
  <w:style w:type="character" w:customStyle="1" w:styleId="43">
    <w:name w:val="ftxt"/>
    <w:basedOn w:val="11"/>
    <w:qFormat/>
    <w:uiPriority w:val="0"/>
  </w:style>
  <w:style w:type="character" w:customStyle="1" w:styleId="44">
    <w:name w:val="imgone1"/>
    <w:basedOn w:val="11"/>
    <w:qFormat/>
    <w:uiPriority w:val="0"/>
    <w:rPr>
      <w:vanish/>
    </w:rPr>
  </w:style>
  <w:style w:type="character" w:customStyle="1" w:styleId="45">
    <w:name w:val="hover115"/>
    <w:basedOn w:val="11"/>
    <w:qFormat/>
    <w:uiPriority w:val="0"/>
  </w:style>
  <w:style w:type="character" w:customStyle="1" w:styleId="46">
    <w:name w:val="gmcloseico5"/>
    <w:basedOn w:val="11"/>
    <w:qFormat/>
    <w:uiPriority w:val="0"/>
  </w:style>
  <w:style w:type="character" w:customStyle="1" w:styleId="47">
    <w:name w:val="gbicoelement"/>
    <w:basedOn w:val="11"/>
    <w:qFormat/>
    <w:uiPriority w:val="0"/>
  </w:style>
  <w:style w:type="character" w:customStyle="1" w:styleId="48">
    <w:name w:val="officialcloseico2"/>
    <w:basedOn w:val="11"/>
    <w:qFormat/>
    <w:uiPriority w:val="0"/>
  </w:style>
  <w:style w:type="character" w:customStyle="1" w:styleId="49">
    <w:name w:val="changepsw"/>
    <w:basedOn w:val="11"/>
    <w:qFormat/>
    <w:uiPriority w:val="0"/>
  </w:style>
  <w:style w:type="character" w:customStyle="1" w:styleId="50">
    <w:name w:val="fexc"/>
    <w:basedOn w:val="11"/>
    <w:qFormat/>
    <w:uiPriority w:val="0"/>
  </w:style>
  <w:style w:type="character" w:customStyle="1" w:styleId="51">
    <w:name w:val="ffolder"/>
    <w:basedOn w:val="11"/>
    <w:qFormat/>
    <w:uiPriority w:val="0"/>
  </w:style>
  <w:style w:type="character" w:customStyle="1" w:styleId="52">
    <w:name w:val="imgone"/>
    <w:basedOn w:val="11"/>
    <w:qFormat/>
    <w:uiPriority w:val="0"/>
  </w:style>
  <w:style w:type="character" w:customStyle="1" w:styleId="53">
    <w:name w:val="pithree"/>
    <w:basedOn w:val="11"/>
    <w:qFormat/>
    <w:uiPriority w:val="0"/>
  </w:style>
  <w:style w:type="character" w:customStyle="1" w:styleId="54">
    <w:name w:val="uncomplete"/>
    <w:basedOn w:val="11"/>
    <w:qFormat/>
    <w:uiPriority w:val="0"/>
  </w:style>
  <w:style w:type="character" w:customStyle="1" w:styleId="55">
    <w:name w:val="fword"/>
    <w:basedOn w:val="11"/>
    <w:qFormat/>
    <w:uiPriority w:val="0"/>
  </w:style>
  <w:style w:type="character" w:customStyle="1" w:styleId="56">
    <w:name w:val="btn27"/>
    <w:basedOn w:val="11"/>
    <w:qFormat/>
    <w:uiPriority w:val="0"/>
  </w:style>
  <w:style w:type="character" w:customStyle="1" w:styleId="57">
    <w:name w:val="gmcloseico2"/>
    <w:basedOn w:val="11"/>
    <w:qFormat/>
    <w:uiPriority w:val="0"/>
  </w:style>
  <w:style w:type="character" w:customStyle="1" w:styleId="58">
    <w:name w:val="jgspan"/>
    <w:basedOn w:val="11"/>
    <w:qFormat/>
    <w:uiPriority w:val="0"/>
  </w:style>
  <w:style w:type="character" w:customStyle="1" w:styleId="59">
    <w:name w:val="offbtn1"/>
    <w:basedOn w:val="11"/>
    <w:qFormat/>
    <w:uiPriority w:val="0"/>
  </w:style>
  <w:style w:type="character" w:customStyle="1" w:styleId="60">
    <w:name w:val="lotitle"/>
    <w:basedOn w:val="11"/>
    <w:qFormat/>
    <w:uiPriority w:val="0"/>
  </w:style>
  <w:style w:type="character" w:customStyle="1" w:styleId="61">
    <w:name w:val="gmcloseico"/>
    <w:basedOn w:val="11"/>
    <w:qFormat/>
    <w:uiPriority w:val="0"/>
  </w:style>
  <w:style w:type="character" w:customStyle="1" w:styleId="62">
    <w:name w:val="loinput"/>
    <w:basedOn w:val="11"/>
    <w:qFormat/>
    <w:uiPriority w:val="0"/>
  </w:style>
  <w:style w:type="character" w:customStyle="1" w:styleId="63">
    <w:name w:val="brtop"/>
    <w:basedOn w:val="11"/>
    <w:qFormat/>
    <w:uiPriority w:val="0"/>
  </w:style>
  <w:style w:type="character" w:customStyle="1" w:styleId="64">
    <w:name w:val="icon7"/>
    <w:basedOn w:val="11"/>
    <w:qFormat/>
    <w:uiPriority w:val="0"/>
  </w:style>
  <w:style w:type="character" w:customStyle="1" w:styleId="65">
    <w:name w:val="cur1"/>
    <w:basedOn w:val="11"/>
    <w:qFormat/>
    <w:uiPriority w:val="0"/>
  </w:style>
  <w:style w:type="character" w:customStyle="1" w:styleId="66">
    <w:name w:val="gmcloseico3"/>
    <w:basedOn w:val="11"/>
    <w:qFormat/>
    <w:uiPriority w:val="0"/>
  </w:style>
  <w:style w:type="character" w:customStyle="1" w:styleId="67">
    <w:name w:val="mfskb"/>
    <w:basedOn w:val="11"/>
    <w:qFormat/>
    <w:uiPriority w:val="0"/>
    <w:rPr>
      <w:color w:val="999999"/>
    </w:rPr>
  </w:style>
  <w:style w:type="character" w:customStyle="1" w:styleId="68">
    <w:name w:val="officialcloseico"/>
    <w:basedOn w:val="11"/>
    <w:qFormat/>
    <w:uiPriority w:val="0"/>
  </w:style>
  <w:style w:type="character" w:customStyle="1" w:styleId="69">
    <w:name w:val="nusrightarrow1"/>
    <w:basedOn w:val="11"/>
    <w:qFormat/>
    <w:uiPriority w:val="0"/>
  </w:style>
  <w:style w:type="character" w:customStyle="1" w:styleId="70">
    <w:name w:val="color2"/>
    <w:basedOn w:val="11"/>
    <w:qFormat/>
    <w:uiPriority w:val="0"/>
  </w:style>
  <w:style w:type="character" w:customStyle="1" w:styleId="71">
    <w:name w:val="pitwo1"/>
    <w:basedOn w:val="11"/>
    <w:qFormat/>
    <w:uiPriority w:val="0"/>
    <w:rPr>
      <w:color w:val="689ACB"/>
    </w:rPr>
  </w:style>
  <w:style w:type="character" w:customStyle="1" w:styleId="72">
    <w:name w:val="pitwo"/>
    <w:basedOn w:val="11"/>
    <w:qFormat/>
    <w:uiPriority w:val="0"/>
  </w:style>
  <w:style w:type="character" w:customStyle="1" w:styleId="73">
    <w:name w:val="nusrightarrow"/>
    <w:basedOn w:val="11"/>
    <w:qFormat/>
    <w:uiPriority w:val="0"/>
  </w:style>
  <w:style w:type="character" w:customStyle="1" w:styleId="74">
    <w:name w:val="homesetarrow"/>
    <w:basedOn w:val="11"/>
    <w:qFormat/>
    <w:uiPriority w:val="0"/>
  </w:style>
  <w:style w:type="character" w:customStyle="1" w:styleId="75">
    <w:name w:val="complete"/>
    <w:basedOn w:val="11"/>
    <w:qFormat/>
    <w:uiPriority w:val="0"/>
  </w:style>
  <w:style w:type="character" w:customStyle="1" w:styleId="76">
    <w:name w:val="telmailclose"/>
    <w:basedOn w:val="11"/>
    <w:qFormat/>
    <w:uiPriority w:val="0"/>
  </w:style>
  <w:style w:type="character" w:customStyle="1" w:styleId="77">
    <w:name w:val="closeico1"/>
    <w:basedOn w:val="11"/>
    <w:qFormat/>
    <w:uiPriority w:val="0"/>
  </w:style>
  <w:style w:type="character" w:customStyle="1" w:styleId="78">
    <w:name w:val="pithree1"/>
    <w:basedOn w:val="11"/>
    <w:qFormat/>
    <w:uiPriority w:val="0"/>
    <w:rPr>
      <w:color w:val="689ACB"/>
    </w:rPr>
  </w:style>
  <w:style w:type="character" w:customStyle="1" w:styleId="79">
    <w:name w:val="cursorico2"/>
    <w:basedOn w:val="11"/>
    <w:qFormat/>
    <w:uiPriority w:val="0"/>
  </w:style>
  <w:style w:type="character" w:customStyle="1" w:styleId="80">
    <w:name w:val="func2"/>
    <w:basedOn w:val="11"/>
    <w:qFormat/>
    <w:uiPriority w:val="0"/>
  </w:style>
  <w:style w:type="character" w:customStyle="1" w:styleId="81">
    <w:name w:val="cursorpicture2"/>
    <w:basedOn w:val="11"/>
    <w:qFormat/>
    <w:uiPriority w:val="0"/>
  </w:style>
  <w:style w:type="character" w:customStyle="1" w:styleId="82">
    <w:name w:val="mfslink"/>
    <w:basedOn w:val="11"/>
    <w:qFormat/>
    <w:uiPriority w:val="0"/>
  </w:style>
  <w:style w:type="character" w:customStyle="1" w:styleId="83">
    <w:name w:val="fexe"/>
    <w:basedOn w:val="11"/>
    <w:qFormat/>
    <w:uiPriority w:val="0"/>
  </w:style>
  <w:style w:type="character" w:customStyle="1" w:styleId="84">
    <w:name w:val="officialcloseico1"/>
    <w:basedOn w:val="11"/>
    <w:qFormat/>
    <w:uiPriority w:val="0"/>
  </w:style>
  <w:style w:type="character" w:customStyle="1" w:styleId="85">
    <w:name w:val="lonum"/>
    <w:basedOn w:val="11"/>
    <w:qFormat/>
    <w:uiPriority w:val="0"/>
  </w:style>
  <w:style w:type="character" w:customStyle="1" w:styleId="86">
    <w:name w:val="cursorico"/>
    <w:basedOn w:val="11"/>
    <w:qFormat/>
    <w:uiPriority w:val="0"/>
  </w:style>
  <w:style w:type="character" w:customStyle="1" w:styleId="87">
    <w:name w:val="fmov2"/>
    <w:basedOn w:val="11"/>
    <w:qFormat/>
    <w:uiPriority w:val="0"/>
  </w:style>
  <w:style w:type="character" w:customStyle="1" w:styleId="88">
    <w:name w:val="lock"/>
    <w:basedOn w:val="11"/>
    <w:qFormat/>
    <w:uiPriority w:val="0"/>
  </w:style>
  <w:style w:type="character" w:customStyle="1" w:styleId="89">
    <w:name w:val="brbot"/>
    <w:basedOn w:val="11"/>
    <w:qFormat/>
    <w:uiPriority w:val="0"/>
  </w:style>
  <w:style w:type="character" w:customStyle="1" w:styleId="90">
    <w:name w:val="fps"/>
    <w:basedOn w:val="11"/>
    <w:qFormat/>
    <w:uiPriority w:val="0"/>
  </w:style>
  <w:style w:type="character" w:customStyle="1" w:styleId="91">
    <w:name w:val="fppt"/>
    <w:basedOn w:val="11"/>
    <w:qFormat/>
    <w:uiPriority w:val="0"/>
  </w:style>
  <w:style w:type="character" w:customStyle="1" w:styleId="92">
    <w:name w:val="foths"/>
    <w:basedOn w:val="11"/>
    <w:qFormat/>
    <w:uiPriority w:val="0"/>
  </w:style>
  <w:style w:type="character" w:customStyle="1" w:styleId="93">
    <w:name w:val="frar"/>
    <w:basedOn w:val="11"/>
    <w:qFormat/>
    <w:uiPriority w:val="0"/>
  </w:style>
  <w:style w:type="character" w:customStyle="1" w:styleId="94">
    <w:name w:val="closeico"/>
    <w:basedOn w:val="11"/>
    <w:qFormat/>
    <w:uiPriority w:val="0"/>
  </w:style>
  <w:style w:type="character" w:customStyle="1" w:styleId="95">
    <w:name w:val="muiname"/>
    <w:basedOn w:val="11"/>
    <w:qFormat/>
    <w:uiPriority w:val="0"/>
    <w:rPr>
      <w:b/>
      <w:color w:val="595959"/>
    </w:rPr>
  </w:style>
  <w:style w:type="character" w:customStyle="1" w:styleId="96">
    <w:name w:val="admuiperson1"/>
    <w:basedOn w:val="11"/>
    <w:qFormat/>
    <w:uiPriority w:val="0"/>
  </w:style>
  <w:style w:type="character" w:customStyle="1" w:styleId="97">
    <w:name w:val="icon6"/>
    <w:basedOn w:val="11"/>
    <w:qFormat/>
    <w:uiPriority w:val="0"/>
  </w:style>
  <w:style w:type="character" w:customStyle="1" w:styleId="98">
    <w:name w:val="contactspop"/>
    <w:basedOn w:val="11"/>
    <w:qFormat/>
    <w:uiPriority w:val="0"/>
  </w:style>
  <w:style w:type="character" w:customStyle="1" w:styleId="99">
    <w:name w:val="checkbox3"/>
    <w:basedOn w:val="11"/>
    <w:qFormat/>
    <w:uiPriority w:val="0"/>
  </w:style>
  <w:style w:type="character" w:customStyle="1" w:styleId="100">
    <w:name w:val="checkbox2"/>
    <w:basedOn w:val="11"/>
    <w:qFormat/>
    <w:uiPriority w:val="0"/>
  </w:style>
  <w:style w:type="character" w:customStyle="1" w:styleId="101">
    <w:name w:val="fpdf"/>
    <w:basedOn w:val="11"/>
    <w:qFormat/>
    <w:uiPriority w:val="0"/>
  </w:style>
  <w:style w:type="character" w:customStyle="1" w:styleId="102">
    <w:name w:val="btn110"/>
    <w:basedOn w:val="11"/>
    <w:qFormat/>
    <w:uiPriority w:val="0"/>
  </w:style>
  <w:style w:type="character" w:customStyle="1" w:styleId="103">
    <w:name w:val="fimage"/>
    <w:basedOn w:val="11"/>
    <w:qFormat/>
    <w:uiPriority w:val="0"/>
  </w:style>
  <w:style w:type="character" w:customStyle="1" w:styleId="104">
    <w:name w:val="checkbox1"/>
    <w:basedOn w:val="11"/>
    <w:uiPriority w:val="0"/>
  </w:style>
  <w:style w:type="character" w:customStyle="1" w:styleId="105">
    <w:name w:val="bsharetext"/>
    <w:basedOn w:val="1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3</Pages>
  <Words>1974</Words>
  <Characters>250</Characters>
  <Lines>2</Lines>
  <Paragraphs>4</Paragraphs>
  <TotalTime>3</TotalTime>
  <ScaleCrop>false</ScaleCrop>
  <LinksUpToDate>false</LinksUpToDate>
  <CharactersWithSpaces>2220</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2013-09-25T01:38:00Z</dcterms:created>
  <dc:creator>段露清</dc:creator>
  <cp:lastModifiedBy>Administrator</cp:lastModifiedBy>
  <cp:lastPrinted>2017-05-25T02:04:00Z</cp:lastPrinted>
  <dcterms:modified xsi:type="dcterms:W3CDTF">2023-09-22T08:00:19Z</dcterms:modified>
  <dc:title>厦门大学附属第一医院</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